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A0" w:rsidRPr="00904120" w:rsidRDefault="00904120" w:rsidP="00904120">
      <w:pPr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904120">
        <w:rPr>
          <w:rFonts w:ascii="Times New Roman" w:hAnsi="Times New Roman" w:cs="Times New Roman"/>
          <w:color w:val="333333"/>
          <w:sz w:val="28"/>
          <w:shd w:val="clear" w:color="auto" w:fill="FFFFFF"/>
        </w:rPr>
        <w:t>В связи с принятием Федерального закона от 14.02.2024 № 21-ФЗ в Правила осуществления федеральной социальной доплаты к пенсии, утвержденные приказом Минтруда России от 27.07.2021 № 512н, внесено дополнение, согласно которому социальная доплата к пенсии детям-инвалидам и детям, получающим пенсию по случаю потери кормильца, сохраняется в период получения ими выплат в студенческих отрядах по трудовым договорам в каникулярное время.</w:t>
      </w:r>
      <w:proofErr w:type="gramEnd"/>
    </w:p>
    <w:sectPr w:rsidR="00F341A0" w:rsidRPr="00904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04120"/>
    <w:rsid w:val="00904120"/>
    <w:rsid w:val="00F3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2024-07-03T20:52:00Z</dcterms:created>
  <dcterms:modified xsi:type="dcterms:W3CDTF">2024-07-03T20:53:00Z</dcterms:modified>
</cp:coreProperties>
</file>